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6C978" w14:textId="77777777" w:rsidR="002B00B9" w:rsidRDefault="00000000">
      <w:pPr>
        <w:adjustRightInd/>
        <w:spacing w:line="540" w:lineRule="exact"/>
        <w:jc w:val="center"/>
        <w:rPr>
          <w:rFonts w:ascii="仿宋" w:eastAsia="仿宋" w:hAnsi="仿宋" w:cs="方正小标宋_GBK" w:hint="eastAsia"/>
          <w:b/>
          <w:sz w:val="40"/>
          <w:szCs w:val="44"/>
        </w:rPr>
      </w:pPr>
      <w:r>
        <w:rPr>
          <w:rFonts w:ascii="仿宋" w:eastAsia="仿宋" w:hAnsi="仿宋" w:cs="方正小标宋_GBK" w:hint="eastAsia"/>
          <w:b/>
          <w:sz w:val="40"/>
          <w:szCs w:val="44"/>
        </w:rPr>
        <w:t>CAA职业教育教学成果评价工作办法</w:t>
      </w:r>
    </w:p>
    <w:p w14:paraId="178BC96D" w14:textId="77777777" w:rsidR="002B00B9" w:rsidRDefault="00000000">
      <w:pPr>
        <w:widowControl w:val="0"/>
        <w:autoSpaceDE/>
        <w:autoSpaceDN/>
        <w:adjustRightInd/>
        <w:spacing w:before="240" w:line="500" w:lineRule="exact"/>
        <w:ind w:firstLineChars="1200" w:firstLine="3855"/>
        <w:textAlignment w:val="auto"/>
        <w:rPr>
          <w:rFonts w:ascii="仿宋" w:eastAsia="仿宋" w:hAnsi="仿宋" w:cs="黑体" w:hint="eastAsia"/>
          <w:b/>
          <w:kern w:val="2"/>
          <w:sz w:val="32"/>
          <w:szCs w:val="32"/>
        </w:rPr>
      </w:pPr>
      <w:r>
        <w:rPr>
          <w:rFonts w:ascii="仿宋" w:eastAsia="仿宋" w:hAnsi="仿宋" w:cs="黑体" w:hint="eastAsia"/>
          <w:b/>
          <w:kern w:val="2"/>
          <w:sz w:val="32"/>
          <w:szCs w:val="32"/>
        </w:rPr>
        <w:t>第一章  总   则</w:t>
      </w:r>
    </w:p>
    <w:p w14:paraId="68BB235A" w14:textId="77777777" w:rsidR="002B00B9"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仿宋" w:hint="eastAsia"/>
          <w:b/>
          <w:bCs/>
          <w:szCs w:val="28"/>
        </w:rPr>
        <w:t>第一条</w:t>
      </w:r>
      <w:r>
        <w:rPr>
          <w:rFonts w:ascii="仿宋" w:eastAsia="仿宋" w:hAnsi="仿宋" w:cs="仿宋" w:hint="eastAsia"/>
          <w:szCs w:val="28"/>
        </w:rPr>
        <w:t xml:space="preserve"> 为贯彻落实“科教兴国”战略，深化教育教学改革，提高人才培养质量，鼓励自动化、信息及智能科学领域广大职业教育工作者积极开展研究，促进中国自动化职业教育事业发展，特开展“CAA职业教育教学成果”评价工作。</w:t>
      </w:r>
    </w:p>
    <w:p w14:paraId="6E481BD8" w14:textId="77777777" w:rsidR="002B00B9"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仿宋" w:hint="eastAsia"/>
          <w:b/>
          <w:bCs/>
          <w:szCs w:val="28"/>
        </w:rPr>
        <w:t>第二条</w:t>
      </w:r>
      <w:r>
        <w:rPr>
          <w:rFonts w:ascii="仿宋" w:eastAsia="仿宋" w:hAnsi="仿宋" w:cs="仿宋" w:hint="eastAsia"/>
          <w:szCs w:val="28"/>
        </w:rPr>
        <w:t xml:space="preserve"> 本办法所称的“教学成果”，是指反映教育教学规律，具有独创性、新颖性、实用性，对提高自动化、信息及智能科学领域职业教育教学水平和教育质量，实现培养目标已产生明显效果的教育教学研究成果，包括实施方案、研究报告、课程资源、论文著作等。</w:t>
      </w:r>
    </w:p>
    <w:p w14:paraId="5F6119BD" w14:textId="77777777" w:rsidR="002B00B9"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仿宋" w:hint="eastAsia"/>
          <w:b/>
          <w:bCs/>
          <w:szCs w:val="28"/>
        </w:rPr>
        <w:t>第三条</w:t>
      </w:r>
      <w:r>
        <w:rPr>
          <w:rFonts w:ascii="仿宋" w:eastAsia="仿宋" w:hAnsi="仿宋" w:cs="仿宋" w:hint="eastAsia"/>
          <w:szCs w:val="28"/>
        </w:rPr>
        <w:t xml:space="preserve"> “CAA职业教育教学成果”包括中等职业教育与高等职业教育（含高职本科）不同层次、学历教育与培训不同类型的教育教学成果。各成果持有者根据所实施的教育层次，申报相应的等级。</w:t>
      </w:r>
    </w:p>
    <w:p w14:paraId="2B2553A2" w14:textId="77777777" w:rsidR="002B00B9"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仿宋" w:hint="eastAsia"/>
          <w:b/>
          <w:bCs/>
          <w:szCs w:val="28"/>
        </w:rPr>
        <w:t>第四条</w:t>
      </w:r>
      <w:r>
        <w:rPr>
          <w:rFonts w:ascii="仿宋" w:eastAsia="仿宋" w:hAnsi="仿宋" w:cs="仿宋" w:hint="eastAsia"/>
          <w:szCs w:val="28"/>
        </w:rPr>
        <w:t xml:space="preserve"> </w:t>
      </w:r>
      <w:proofErr w:type="gramStart"/>
      <w:r>
        <w:rPr>
          <w:rFonts w:ascii="仿宋" w:eastAsia="仿宋" w:hAnsi="仿宋" w:cs="仿宋" w:hint="eastAsia"/>
          <w:szCs w:val="28"/>
        </w:rPr>
        <w:t>本评价</w:t>
      </w:r>
      <w:proofErr w:type="gramEnd"/>
      <w:r>
        <w:rPr>
          <w:rFonts w:ascii="仿宋" w:eastAsia="仿宋" w:hAnsi="仿宋" w:cs="仿宋" w:hint="eastAsia"/>
          <w:szCs w:val="28"/>
        </w:rPr>
        <w:t>工作每两年开展一次，等级划分为Ⅰ类、Ⅱ类、Ⅲ类三级。原则上Ⅰ类不多于2项，Ⅱ类数额根据当年申报数量的25-40%确定，保证成果评价质量，允许各个等级成果有空缺。</w:t>
      </w:r>
    </w:p>
    <w:p w14:paraId="52063DE0" w14:textId="77777777" w:rsidR="002B00B9" w:rsidRDefault="00000000">
      <w:pPr>
        <w:widowControl w:val="0"/>
        <w:autoSpaceDE/>
        <w:autoSpaceDN/>
        <w:adjustRightInd/>
        <w:spacing w:before="240" w:line="500" w:lineRule="exact"/>
        <w:ind w:firstLineChars="1100" w:firstLine="3534"/>
        <w:textAlignment w:val="auto"/>
        <w:rPr>
          <w:rFonts w:ascii="仿宋" w:eastAsia="仿宋" w:hAnsi="仿宋" w:cs="黑体" w:hint="eastAsia"/>
          <w:b/>
          <w:kern w:val="2"/>
          <w:sz w:val="32"/>
          <w:szCs w:val="32"/>
        </w:rPr>
      </w:pPr>
      <w:r>
        <w:rPr>
          <w:rFonts w:ascii="仿宋" w:eastAsia="仿宋" w:hAnsi="仿宋" w:cs="黑体" w:hint="eastAsia"/>
          <w:b/>
          <w:kern w:val="2"/>
          <w:sz w:val="32"/>
          <w:szCs w:val="32"/>
        </w:rPr>
        <w:t>第二章 参评条件</w:t>
      </w:r>
    </w:p>
    <w:p w14:paraId="548093EA" w14:textId="77777777" w:rsidR="002B00B9"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仿宋" w:hint="eastAsia"/>
          <w:b/>
          <w:bCs/>
          <w:szCs w:val="28"/>
        </w:rPr>
        <w:t>第五条</w:t>
      </w:r>
      <w:r>
        <w:rPr>
          <w:rFonts w:ascii="仿宋" w:eastAsia="仿宋" w:hAnsi="仿宋" w:cs="仿宋" w:hint="eastAsia"/>
          <w:szCs w:val="28"/>
        </w:rPr>
        <w:t xml:space="preserve"> 参与“CAA职业教育教学成果”评价应具备以下条件：</w:t>
      </w:r>
    </w:p>
    <w:p w14:paraId="63B7542B" w14:textId="77777777" w:rsidR="002B00B9"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1.在自动化、信息与智能科学领域职业教育教学工作中</w:t>
      </w:r>
      <w:proofErr w:type="gramStart"/>
      <w:r>
        <w:rPr>
          <w:rFonts w:ascii="仿宋" w:eastAsia="仿宋" w:hAnsi="仿宋" w:cs="仿宋" w:hint="eastAsia"/>
          <w:szCs w:val="28"/>
        </w:rPr>
        <w:t>作出</w:t>
      </w:r>
      <w:proofErr w:type="gramEnd"/>
      <w:r>
        <w:rPr>
          <w:rFonts w:ascii="仿宋" w:eastAsia="仿宋" w:hAnsi="仿宋" w:cs="仿宋" w:hint="eastAsia"/>
          <w:szCs w:val="28"/>
        </w:rPr>
        <w:t>突出贡献，有效提高教学水平和教育质量，取得显著成果的集体和个人。成果主要完成人应直接参加成果的方案设计、论证、研究和实施全过程，并</w:t>
      </w:r>
      <w:proofErr w:type="gramStart"/>
      <w:r>
        <w:rPr>
          <w:rFonts w:ascii="仿宋" w:eastAsia="仿宋" w:hAnsi="仿宋" w:cs="仿宋" w:hint="eastAsia"/>
          <w:szCs w:val="28"/>
        </w:rPr>
        <w:t>作出</w:t>
      </w:r>
      <w:proofErr w:type="gramEnd"/>
      <w:r>
        <w:rPr>
          <w:rFonts w:ascii="仿宋" w:eastAsia="仿宋" w:hAnsi="仿宋" w:cs="仿宋" w:hint="eastAsia"/>
          <w:szCs w:val="28"/>
        </w:rPr>
        <w:t>主要贡献。成果主要完成单位应为成果主要完成人所在单位，并在成果的方案设计、论证、研究和实践的全过程中</w:t>
      </w:r>
      <w:proofErr w:type="gramStart"/>
      <w:r>
        <w:rPr>
          <w:rFonts w:ascii="仿宋" w:eastAsia="仿宋" w:hAnsi="仿宋" w:cs="仿宋" w:hint="eastAsia"/>
          <w:szCs w:val="28"/>
        </w:rPr>
        <w:t>作出</w:t>
      </w:r>
      <w:proofErr w:type="gramEnd"/>
      <w:r>
        <w:rPr>
          <w:rFonts w:ascii="仿宋" w:eastAsia="仿宋" w:hAnsi="仿宋" w:cs="仿宋" w:hint="eastAsia"/>
          <w:szCs w:val="28"/>
        </w:rPr>
        <w:t>主要贡献。</w:t>
      </w:r>
    </w:p>
    <w:p w14:paraId="0B24DF80" w14:textId="77777777" w:rsidR="002B00B9"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2.成果主要完成人应直接承担自动化、信息与智能科学领域职业教育教学工作，并有三年以上职业教育教学工作的经历。</w:t>
      </w:r>
    </w:p>
    <w:p w14:paraId="209ED7DE" w14:textId="77777777" w:rsidR="002B00B9"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3.成果形式主要包括研究报告、实施方案、著作、论文、课程资源等。成果中可包括教材（含数字教材），但不能以教材为主要成果进行申请。</w:t>
      </w:r>
    </w:p>
    <w:p w14:paraId="08CC1321" w14:textId="77777777" w:rsidR="002B00B9"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lastRenderedPageBreak/>
        <w:t>4.往届获得“CAA职业教育教学成果”的成果，在理论建树和实践研究中如无特别创新或重大突破不能参与本届申请。</w:t>
      </w:r>
    </w:p>
    <w:p w14:paraId="1806844D" w14:textId="77777777" w:rsidR="002B00B9"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5.参评“CAA职业教育教学成果”的成果完成人不能超过6名，完成单位不能超过3个。</w:t>
      </w:r>
    </w:p>
    <w:p w14:paraId="4D0E3100" w14:textId="77777777" w:rsidR="002B00B9" w:rsidRDefault="00000000">
      <w:pPr>
        <w:widowControl w:val="0"/>
        <w:autoSpaceDE/>
        <w:autoSpaceDN/>
        <w:adjustRightInd/>
        <w:spacing w:before="240" w:line="500" w:lineRule="exact"/>
        <w:ind w:firstLineChars="1200" w:firstLine="3855"/>
        <w:textAlignment w:val="auto"/>
        <w:rPr>
          <w:rFonts w:ascii="仿宋" w:eastAsia="仿宋" w:hAnsi="仿宋" w:cs="黑体" w:hint="eastAsia"/>
          <w:b/>
          <w:kern w:val="2"/>
          <w:sz w:val="32"/>
          <w:szCs w:val="32"/>
        </w:rPr>
      </w:pPr>
      <w:r>
        <w:rPr>
          <w:rFonts w:ascii="仿宋" w:eastAsia="仿宋" w:hAnsi="仿宋" w:cs="黑体" w:hint="eastAsia"/>
          <w:b/>
          <w:kern w:val="2"/>
          <w:sz w:val="32"/>
          <w:szCs w:val="32"/>
        </w:rPr>
        <w:t>第三章 成果要求</w:t>
      </w:r>
    </w:p>
    <w:p w14:paraId="347A9B3A" w14:textId="77777777" w:rsidR="002B00B9"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仿宋" w:hint="eastAsia"/>
          <w:b/>
          <w:bCs/>
          <w:szCs w:val="28"/>
        </w:rPr>
        <w:t xml:space="preserve">第六条 </w:t>
      </w:r>
      <w:r>
        <w:rPr>
          <w:rFonts w:ascii="仿宋" w:eastAsia="仿宋" w:hAnsi="仿宋" w:cs="仿宋" w:hint="eastAsia"/>
          <w:szCs w:val="28"/>
        </w:rPr>
        <w:t>成果应坚持正确政治方向，落实立德树人、</w:t>
      </w:r>
      <w:proofErr w:type="gramStart"/>
      <w:r>
        <w:rPr>
          <w:rFonts w:ascii="仿宋" w:eastAsia="仿宋" w:hAnsi="仿宋" w:cs="仿宋" w:hint="eastAsia"/>
          <w:szCs w:val="28"/>
        </w:rPr>
        <w:t>德技并</w:t>
      </w:r>
      <w:proofErr w:type="gramEnd"/>
      <w:r>
        <w:rPr>
          <w:rFonts w:ascii="仿宋" w:eastAsia="仿宋" w:hAnsi="仿宋" w:cs="仿宋" w:hint="eastAsia"/>
          <w:szCs w:val="28"/>
        </w:rPr>
        <w:t>修，深化“三全育人”改革，对接前沿技术和产业变革，深化产教融合、校企合作、工学结合、知行合一，聚焦现代农业、先进制造业、战略性新兴产业和现代服务业等重点领域，推动专业升级和数字化改造，创新人才培养模式，推进教师教材教法改革，加强教师培养培训，强化实践教学，</w:t>
      </w:r>
      <w:proofErr w:type="gramStart"/>
      <w:r>
        <w:rPr>
          <w:rFonts w:ascii="仿宋" w:eastAsia="仿宋" w:hAnsi="仿宋" w:cs="仿宋" w:hint="eastAsia"/>
          <w:szCs w:val="28"/>
        </w:rPr>
        <w:t>实行育训并举</w:t>
      </w:r>
      <w:proofErr w:type="gramEnd"/>
      <w:r>
        <w:rPr>
          <w:rFonts w:ascii="仿宋" w:eastAsia="仿宋" w:hAnsi="仿宋" w:cs="仿宋" w:hint="eastAsia"/>
          <w:szCs w:val="28"/>
        </w:rPr>
        <w:t>，深化教育评价改革，促进信息技术与教育教学深度融合，有效破解教学中的难点问题，实施效果显著，具有较高推广价值。</w:t>
      </w:r>
    </w:p>
    <w:p w14:paraId="5EA1CBD2" w14:textId="77777777" w:rsidR="002B00B9"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仿宋" w:hint="eastAsia"/>
          <w:b/>
          <w:bCs/>
          <w:szCs w:val="28"/>
        </w:rPr>
        <w:t xml:space="preserve">第七条 </w:t>
      </w:r>
      <w:r>
        <w:rPr>
          <w:rFonts w:ascii="仿宋" w:eastAsia="仿宋" w:hAnsi="仿宋" w:cs="方正仿宋_GB2312" w:hint="eastAsia"/>
          <w:szCs w:val="28"/>
        </w:rPr>
        <w:t>Ⅰ类教学成果应在我国自动化、信息及智能科学领域相关的科学、劳动、信息科技与通用技术等方面有重大创新，在教学改革实践中取得重大突破，对提高教学水平和教育质量、实现培养目标有重大贡献，在国内外处于领先水平，在全国产生重大影响，并经过不少于4年的教育教学实践检验。</w:t>
      </w:r>
    </w:p>
    <w:p w14:paraId="001529A2" w14:textId="77777777" w:rsidR="002B00B9"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仿宋" w:hint="eastAsia"/>
          <w:b/>
          <w:bCs/>
          <w:szCs w:val="28"/>
        </w:rPr>
        <w:t xml:space="preserve">第八条 </w:t>
      </w:r>
      <w:r>
        <w:rPr>
          <w:rFonts w:ascii="仿宋" w:eastAsia="仿宋" w:hAnsi="仿宋" w:cs="方正仿宋_GB2312" w:hint="eastAsia"/>
          <w:szCs w:val="28"/>
        </w:rPr>
        <w:t>Ⅱ类教学成果应在我国自动化、信息及智能科学领域相关的科学、劳动、信息科技与通用技术等方面有创新，对教学改革实践有重要示范作用，对提高教学水平和教育质量、实现培养目标产生重要成效，在全国或者省（区、市）内产生重要影响，一般经过不少于4年的教育教学实践检验。</w:t>
      </w:r>
    </w:p>
    <w:p w14:paraId="46EAE65F" w14:textId="77777777" w:rsidR="002B00B9" w:rsidRDefault="00000000">
      <w:pPr>
        <w:topLinePunct/>
        <w:spacing w:line="500" w:lineRule="exact"/>
        <w:ind w:firstLineChars="200" w:firstLine="562"/>
        <w:rPr>
          <w:rFonts w:ascii="仿宋" w:eastAsia="仿宋" w:hAnsi="仿宋" w:cs="方正仿宋_GB2312" w:hint="eastAsia"/>
          <w:szCs w:val="28"/>
        </w:rPr>
      </w:pPr>
      <w:r>
        <w:rPr>
          <w:rFonts w:ascii="仿宋" w:eastAsia="仿宋" w:hAnsi="仿宋" w:cs="仿宋" w:hint="eastAsia"/>
          <w:b/>
          <w:bCs/>
          <w:szCs w:val="28"/>
        </w:rPr>
        <w:t xml:space="preserve">第九条 </w:t>
      </w:r>
      <w:r>
        <w:rPr>
          <w:rFonts w:ascii="仿宋" w:eastAsia="仿宋" w:hAnsi="仿宋" w:cs="方正仿宋_GB2312" w:hint="eastAsia"/>
          <w:szCs w:val="28"/>
        </w:rPr>
        <w:t>Ⅲ类教学成果应在</w:t>
      </w:r>
      <w:r>
        <w:rPr>
          <w:rFonts w:ascii="仿宋" w:eastAsia="仿宋" w:hAnsi="仿宋" w:hint="eastAsia"/>
          <w:szCs w:val="28"/>
        </w:rPr>
        <w:t>我国自动化、信息及智能科学领域相关的科学、劳动、信息科技与通用技术等</w:t>
      </w:r>
      <w:r>
        <w:rPr>
          <w:rFonts w:ascii="仿宋" w:eastAsia="仿宋" w:hAnsi="仿宋" w:cs="方正仿宋_GB2312" w:hint="eastAsia"/>
          <w:szCs w:val="28"/>
        </w:rPr>
        <w:t>方面有教学理论或者实践的较大突破，在提高教学水平和教育质量、实现培养目标等方面取得较大成效，并经过不少于2年的教育教学实践检验。</w:t>
      </w:r>
    </w:p>
    <w:p w14:paraId="3C949F08" w14:textId="77777777" w:rsidR="002B00B9"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仿宋" w:hint="eastAsia"/>
          <w:b/>
          <w:bCs/>
          <w:szCs w:val="28"/>
        </w:rPr>
        <w:t xml:space="preserve">第十条 </w:t>
      </w:r>
      <w:r>
        <w:rPr>
          <w:rFonts w:ascii="仿宋" w:eastAsia="仿宋" w:hAnsi="仿宋" w:cs="仿宋" w:hint="eastAsia"/>
          <w:szCs w:val="28"/>
        </w:rPr>
        <w:t>实践检验的起始时间，应从正式实施（包括正式试行）教育教学方案的时间开始计算（不含研讨、论证及制定方案的时间）。成果为出版物的，从正式出版的时间开始计算。</w:t>
      </w:r>
    </w:p>
    <w:p w14:paraId="2CA5D930" w14:textId="77777777" w:rsidR="002B00B9" w:rsidRDefault="00000000">
      <w:pPr>
        <w:widowControl w:val="0"/>
        <w:autoSpaceDE/>
        <w:autoSpaceDN/>
        <w:adjustRightInd/>
        <w:spacing w:before="240" w:line="500" w:lineRule="exact"/>
        <w:ind w:firstLineChars="1100" w:firstLine="3534"/>
        <w:textAlignment w:val="auto"/>
        <w:rPr>
          <w:rFonts w:ascii="仿宋" w:eastAsia="仿宋" w:hAnsi="仿宋" w:cs="黑体" w:hint="eastAsia"/>
          <w:b/>
          <w:kern w:val="2"/>
          <w:sz w:val="32"/>
          <w:szCs w:val="32"/>
        </w:rPr>
      </w:pPr>
      <w:r>
        <w:rPr>
          <w:rFonts w:ascii="仿宋" w:eastAsia="仿宋" w:hAnsi="仿宋" w:cs="黑体" w:hint="eastAsia"/>
          <w:b/>
          <w:kern w:val="2"/>
          <w:sz w:val="32"/>
          <w:szCs w:val="32"/>
        </w:rPr>
        <w:lastRenderedPageBreak/>
        <w:t>第四章 申请程序和要求</w:t>
      </w:r>
    </w:p>
    <w:p w14:paraId="7189D3C3" w14:textId="77777777" w:rsidR="002B00B9"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仿宋" w:hint="eastAsia"/>
          <w:b/>
          <w:bCs/>
          <w:szCs w:val="28"/>
        </w:rPr>
        <w:t xml:space="preserve">第十一条 </w:t>
      </w:r>
      <w:r>
        <w:rPr>
          <w:rFonts w:ascii="仿宋" w:eastAsia="仿宋" w:hAnsi="仿宋" w:cs="仿宋"/>
          <w:b/>
          <w:bCs/>
          <w:szCs w:val="28"/>
        </w:rPr>
        <w:t xml:space="preserve"> </w:t>
      </w:r>
      <w:r>
        <w:rPr>
          <w:rFonts w:ascii="仿宋" w:eastAsia="仿宋" w:hAnsi="仿宋" w:cs="方正仿宋_GB2312" w:hint="eastAsia"/>
          <w:szCs w:val="28"/>
        </w:rPr>
        <w:t>CAA接受如下单位的申请，包括CAA分支机构，CAA会员单位，省级自动化学会</w:t>
      </w:r>
      <w:r>
        <w:rPr>
          <w:rFonts w:ascii="仿宋" w:eastAsia="仿宋" w:hAnsi="仿宋" w:cs="仿宋" w:hint="eastAsia"/>
          <w:szCs w:val="28"/>
        </w:rPr>
        <w:t>，教育部正式批准的高等院校和职业院校推荐，社会组织等独立法人单位。</w:t>
      </w:r>
    </w:p>
    <w:p w14:paraId="4F8DCB10" w14:textId="77777777" w:rsidR="002B00B9" w:rsidRDefault="00000000">
      <w:pPr>
        <w:topLinePunct/>
        <w:spacing w:line="500" w:lineRule="exact"/>
        <w:ind w:firstLineChars="176" w:firstLine="493"/>
        <w:rPr>
          <w:rFonts w:ascii="仿宋" w:eastAsia="仿宋" w:hAnsi="仿宋" w:hint="eastAsia"/>
          <w:szCs w:val="28"/>
        </w:rPr>
      </w:pPr>
      <w:r>
        <w:rPr>
          <w:rFonts w:ascii="仿宋" w:eastAsia="仿宋" w:hAnsi="仿宋" w:cs="方正仿宋_GB2312" w:hint="eastAsia"/>
          <w:szCs w:val="28"/>
        </w:rPr>
        <w:t>原则上每个单位最多2项成果。</w:t>
      </w:r>
      <w:r>
        <w:rPr>
          <w:rFonts w:ascii="仿宋" w:eastAsia="仿宋" w:hAnsi="仿宋"/>
          <w:szCs w:val="28"/>
        </w:rPr>
        <w:t xml:space="preserve"> </w:t>
      </w:r>
    </w:p>
    <w:p w14:paraId="0DB3FBF5" w14:textId="77777777" w:rsidR="002B00B9" w:rsidRDefault="00000000">
      <w:pPr>
        <w:numPr>
          <w:ilvl w:val="0"/>
          <w:numId w:val="1"/>
        </w:numPr>
        <w:topLinePunct/>
        <w:spacing w:line="500" w:lineRule="exact"/>
        <w:ind w:firstLineChars="176" w:firstLine="493"/>
        <w:rPr>
          <w:rFonts w:ascii="仿宋" w:eastAsia="仿宋" w:hAnsi="仿宋" w:hint="eastAsia"/>
          <w:szCs w:val="28"/>
        </w:rPr>
      </w:pPr>
      <w:r>
        <w:rPr>
          <w:rFonts w:ascii="仿宋" w:eastAsia="仿宋" w:hAnsi="仿宋" w:cs="方正仿宋_GB2312" w:hint="eastAsia"/>
          <w:szCs w:val="28"/>
        </w:rPr>
        <w:t>申请资料包括：</w:t>
      </w:r>
      <w:r>
        <w:rPr>
          <w:rFonts w:ascii="仿宋" w:eastAsia="仿宋" w:hAnsi="仿宋" w:hint="eastAsia"/>
          <w:szCs w:val="28"/>
        </w:rPr>
        <w:t>申请书、成果简要情况表及</w:t>
      </w:r>
      <w:r>
        <w:rPr>
          <w:rFonts w:ascii="仿宋" w:eastAsia="仿宋" w:hAnsi="仿宋"/>
          <w:szCs w:val="28"/>
        </w:rPr>
        <w:t>成果支撑材料</w:t>
      </w:r>
      <w:r>
        <w:rPr>
          <w:rFonts w:ascii="仿宋" w:eastAsia="仿宋" w:hAnsi="仿宋" w:hint="eastAsia"/>
          <w:szCs w:val="28"/>
        </w:rPr>
        <w:t>（</w:t>
      </w:r>
      <w:r>
        <w:rPr>
          <w:rFonts w:ascii="仿宋" w:eastAsia="仿宋" w:hAnsi="仿宋"/>
          <w:szCs w:val="28"/>
        </w:rPr>
        <w:t>如教育教学取得实际效果的有效证明材料等）</w:t>
      </w:r>
      <w:r>
        <w:rPr>
          <w:rFonts w:ascii="仿宋" w:eastAsia="仿宋" w:hAnsi="仿宋" w:hint="eastAsia"/>
          <w:szCs w:val="28"/>
        </w:rPr>
        <w:t>。</w:t>
      </w:r>
    </w:p>
    <w:p w14:paraId="4CD5A2FF" w14:textId="77777777" w:rsidR="002B00B9" w:rsidRDefault="00000000">
      <w:pPr>
        <w:numPr>
          <w:ilvl w:val="0"/>
          <w:numId w:val="1"/>
        </w:numPr>
        <w:topLinePunct/>
        <w:spacing w:line="500" w:lineRule="exact"/>
        <w:ind w:firstLineChars="176" w:firstLine="493"/>
        <w:rPr>
          <w:rFonts w:ascii="仿宋" w:eastAsia="仿宋" w:hAnsi="仿宋" w:hint="eastAsia"/>
          <w:szCs w:val="28"/>
        </w:rPr>
      </w:pPr>
      <w:r>
        <w:rPr>
          <w:rFonts w:ascii="仿宋" w:eastAsia="仿宋" w:hAnsi="仿宋" w:cs="仿宋" w:hint="eastAsia"/>
          <w:szCs w:val="28"/>
        </w:rPr>
        <w:t>党政机关及其工作人员申请成果的，原则上不予推荐。同一成果（相同完成人或单位、</w:t>
      </w:r>
      <w:proofErr w:type="gramStart"/>
      <w:r>
        <w:rPr>
          <w:rFonts w:ascii="仿宋" w:eastAsia="仿宋" w:hAnsi="仿宋" w:cs="仿宋" w:hint="eastAsia"/>
          <w:szCs w:val="28"/>
        </w:rPr>
        <w:t>相同成果</w:t>
      </w:r>
      <w:proofErr w:type="gramEnd"/>
      <w:r>
        <w:rPr>
          <w:rFonts w:ascii="仿宋" w:eastAsia="仿宋" w:hAnsi="仿宋" w:cs="仿宋" w:hint="eastAsia"/>
          <w:szCs w:val="28"/>
        </w:rPr>
        <w:t>内容）不得多途径申请、拆分申请，一经发现一票否决。</w:t>
      </w:r>
    </w:p>
    <w:p w14:paraId="3ADAE4EF" w14:textId="77777777" w:rsidR="002B00B9" w:rsidRDefault="00000000">
      <w:pPr>
        <w:widowControl w:val="0"/>
        <w:autoSpaceDE/>
        <w:autoSpaceDN/>
        <w:adjustRightInd/>
        <w:spacing w:before="240" w:line="500" w:lineRule="exact"/>
        <w:ind w:firstLineChars="1100" w:firstLine="3534"/>
        <w:textAlignment w:val="auto"/>
        <w:rPr>
          <w:rFonts w:ascii="仿宋" w:eastAsia="仿宋" w:hAnsi="仿宋" w:cs="黑体" w:hint="eastAsia"/>
          <w:b/>
          <w:kern w:val="2"/>
          <w:sz w:val="32"/>
          <w:szCs w:val="32"/>
        </w:rPr>
      </w:pPr>
      <w:r>
        <w:rPr>
          <w:rFonts w:ascii="仿宋" w:eastAsia="仿宋" w:hAnsi="仿宋" w:cs="黑体" w:hint="eastAsia"/>
          <w:b/>
          <w:kern w:val="2"/>
          <w:sz w:val="32"/>
          <w:szCs w:val="32"/>
        </w:rPr>
        <w:t>第五章 评价程序</w:t>
      </w:r>
    </w:p>
    <w:p w14:paraId="7A8D658F" w14:textId="77777777" w:rsidR="002B00B9" w:rsidRDefault="00000000">
      <w:pPr>
        <w:overflowPunct/>
        <w:topLinePunct/>
        <w:autoSpaceDE/>
        <w:autoSpaceDN/>
        <w:spacing w:line="500" w:lineRule="exact"/>
        <w:ind w:firstLineChars="200" w:firstLine="562"/>
        <w:rPr>
          <w:rFonts w:ascii="仿宋" w:eastAsia="仿宋" w:hAnsi="仿宋" w:hint="eastAsia"/>
          <w:szCs w:val="28"/>
          <w:highlight w:val="yellow"/>
        </w:rPr>
      </w:pPr>
      <w:r>
        <w:rPr>
          <w:rFonts w:ascii="仿宋" w:eastAsia="仿宋" w:hAnsi="仿宋"/>
          <w:b/>
          <w:bCs/>
          <w:szCs w:val="28"/>
        </w:rPr>
        <w:t>第</w:t>
      </w:r>
      <w:r>
        <w:rPr>
          <w:rFonts w:ascii="仿宋" w:eastAsia="仿宋" w:hAnsi="仿宋" w:hint="eastAsia"/>
          <w:b/>
          <w:bCs/>
          <w:szCs w:val="28"/>
        </w:rPr>
        <w:t>十四</w:t>
      </w:r>
      <w:r>
        <w:rPr>
          <w:rFonts w:ascii="仿宋" w:eastAsia="仿宋" w:hAnsi="仿宋"/>
          <w:b/>
          <w:bCs/>
          <w:szCs w:val="28"/>
        </w:rPr>
        <w:t xml:space="preserve">条 </w:t>
      </w:r>
      <w:r>
        <w:rPr>
          <w:rFonts w:ascii="仿宋" w:eastAsia="仿宋" w:hAnsi="仿宋" w:hint="eastAsia"/>
          <w:szCs w:val="28"/>
        </w:rPr>
        <w:t>从中国自动化学会专家库中聘请自动化及相关领域专家组成评价专家组，</w:t>
      </w:r>
      <w:r w:rsidRPr="00333AC2">
        <w:rPr>
          <w:rFonts w:ascii="仿宋" w:eastAsia="仿宋" w:hAnsi="仿宋"/>
          <w:szCs w:val="28"/>
        </w:rPr>
        <w:t>评</w:t>
      </w:r>
      <w:r w:rsidRPr="00333AC2">
        <w:rPr>
          <w:rFonts w:ascii="仿宋" w:eastAsia="仿宋" w:hAnsi="仿宋" w:hint="eastAsia"/>
          <w:szCs w:val="28"/>
        </w:rPr>
        <w:t>价工作包括形式</w:t>
      </w:r>
      <w:r w:rsidRPr="00333AC2">
        <w:rPr>
          <w:rFonts w:ascii="仿宋" w:eastAsia="仿宋" w:hAnsi="仿宋"/>
          <w:szCs w:val="28"/>
        </w:rPr>
        <w:t>审查、初评</w:t>
      </w:r>
      <w:r w:rsidRPr="00333AC2">
        <w:rPr>
          <w:rFonts w:ascii="仿宋" w:eastAsia="仿宋" w:hAnsi="仿宋" w:hint="eastAsia"/>
          <w:szCs w:val="28"/>
        </w:rPr>
        <w:t>、</w:t>
      </w:r>
      <w:r w:rsidRPr="00333AC2">
        <w:rPr>
          <w:rFonts w:ascii="仿宋" w:eastAsia="仿宋" w:hAnsi="仿宋"/>
          <w:szCs w:val="28"/>
        </w:rPr>
        <w:t>终评</w:t>
      </w:r>
      <w:r w:rsidRPr="00333AC2">
        <w:rPr>
          <w:rFonts w:ascii="仿宋" w:eastAsia="仿宋" w:hAnsi="仿宋" w:hint="eastAsia"/>
          <w:szCs w:val="28"/>
        </w:rPr>
        <w:t>和公示四</w:t>
      </w:r>
      <w:r w:rsidRPr="00333AC2">
        <w:rPr>
          <w:rFonts w:ascii="仿宋" w:eastAsia="仿宋" w:hAnsi="仿宋"/>
          <w:szCs w:val="28"/>
        </w:rPr>
        <w:t>个阶段</w:t>
      </w:r>
      <w:r w:rsidRPr="00333AC2">
        <w:rPr>
          <w:rFonts w:ascii="仿宋" w:eastAsia="仿宋" w:hAnsi="仿宋" w:hint="eastAsia"/>
          <w:szCs w:val="28"/>
        </w:rPr>
        <w:t>：</w:t>
      </w:r>
    </w:p>
    <w:p w14:paraId="1D7E1CC2" w14:textId="77777777" w:rsidR="002B00B9" w:rsidRPr="00A64E0E" w:rsidRDefault="00000000" w:rsidP="00A64E0E">
      <w:pPr>
        <w:pStyle w:val="p0"/>
        <w:rPr>
          <w:rFonts w:hint="eastAsia"/>
        </w:rPr>
      </w:pPr>
      <w:r w:rsidRPr="00A64E0E">
        <w:t xml:space="preserve">1. </w:t>
      </w:r>
      <w:r w:rsidRPr="00A64E0E">
        <w:rPr>
          <w:rFonts w:hint="eastAsia"/>
        </w:rPr>
        <w:t>形式</w:t>
      </w:r>
      <w:r w:rsidRPr="00A64E0E">
        <w:t>审查：对</w:t>
      </w:r>
      <w:r w:rsidRPr="00A64E0E">
        <w:rPr>
          <w:rFonts w:hint="eastAsia"/>
        </w:rPr>
        <w:t>成果完成人</w:t>
      </w:r>
      <w:r w:rsidRPr="00A64E0E">
        <w:t>和推荐单位的资质、被推荐</w:t>
      </w:r>
      <w:r w:rsidRPr="00A64E0E">
        <w:rPr>
          <w:rFonts w:hint="eastAsia"/>
        </w:rPr>
        <w:t>成果</w:t>
      </w:r>
      <w:r w:rsidRPr="00A64E0E">
        <w:t>及附属材料的完整性、真实性和保密性等进行审查，通过该阶段审查方可进入初评阶段。</w:t>
      </w:r>
    </w:p>
    <w:p w14:paraId="0A21F10F" w14:textId="164F8376" w:rsidR="002B00B9" w:rsidRDefault="00000000" w:rsidP="00A64E0E">
      <w:pPr>
        <w:pStyle w:val="p0"/>
        <w:rPr>
          <w:rFonts w:hint="eastAsia"/>
        </w:rPr>
      </w:pPr>
      <w:r>
        <w:t>2. 初评：初评采用同行专家函评的方</w:t>
      </w:r>
      <w:r w:rsidR="008C5233">
        <w:rPr>
          <w:rFonts w:hint="eastAsia"/>
        </w:rPr>
        <w:t>式</w:t>
      </w:r>
      <w:r>
        <w:t>，根据同行专家评议情况，确定入围候选</w:t>
      </w:r>
      <w:r>
        <w:rPr>
          <w:rFonts w:hint="eastAsia"/>
        </w:rPr>
        <w:t>成果</w:t>
      </w:r>
      <w:r>
        <w:t>。</w:t>
      </w:r>
    </w:p>
    <w:p w14:paraId="532970DD" w14:textId="77777777" w:rsidR="002B00B9" w:rsidRDefault="00000000" w:rsidP="00A64E0E">
      <w:pPr>
        <w:pStyle w:val="p0"/>
        <w:rPr>
          <w:rFonts w:hint="eastAsia"/>
        </w:rPr>
      </w:pPr>
      <w:r>
        <w:t>3.</w:t>
      </w:r>
      <w:r>
        <w:rPr>
          <w:rFonts w:hint="eastAsia"/>
        </w:rPr>
        <w:t xml:space="preserve"> </w:t>
      </w:r>
      <w:r>
        <w:t>终评：根据同行专家评议情况对入围候选</w:t>
      </w:r>
      <w:r>
        <w:rPr>
          <w:rFonts w:hint="eastAsia"/>
        </w:rPr>
        <w:t>成果</w:t>
      </w:r>
      <w:r>
        <w:t>进行评议，由参加表决的评</w:t>
      </w:r>
      <w:r>
        <w:rPr>
          <w:rFonts w:hint="eastAsia"/>
        </w:rPr>
        <w:t>价专家</w:t>
      </w:r>
      <w:r>
        <w:t>三分之二以上（含三分之二）采用投票方式表决确定</w:t>
      </w:r>
      <w:r>
        <w:rPr>
          <w:rFonts w:hint="eastAsia"/>
        </w:rPr>
        <w:t>最终入选成果名单。</w:t>
      </w:r>
    </w:p>
    <w:p w14:paraId="77DBB2C3" w14:textId="77777777" w:rsidR="002B00B9" w:rsidRDefault="00000000" w:rsidP="00A64E0E">
      <w:pPr>
        <w:pStyle w:val="p0"/>
        <w:rPr>
          <w:rFonts w:hint="eastAsia"/>
        </w:rPr>
      </w:pPr>
      <w:r>
        <w:rPr>
          <w:rFonts w:hint="eastAsia"/>
        </w:rPr>
        <w:t>4. 公示：</w:t>
      </w:r>
      <w:r>
        <w:t>在中国自动化学会网站上</w:t>
      </w:r>
      <w:r>
        <w:rPr>
          <w:rFonts w:hint="eastAsia"/>
        </w:rPr>
        <w:t>对评价结果</w:t>
      </w:r>
      <w:r>
        <w:t>予以公示，公示期为5</w:t>
      </w:r>
      <w:r>
        <w:rPr>
          <w:rFonts w:hint="eastAsia"/>
        </w:rPr>
        <w:t>个工作日</w:t>
      </w:r>
      <w:r>
        <w:t>。</w:t>
      </w:r>
      <w:r>
        <w:rPr>
          <w:rFonts w:hint="eastAsia"/>
        </w:rPr>
        <w:t>任何单位或个人，如发现入选成果存在剽窃、作假等严重学术问题，可在入选成果名单公布之日起5日内，以书面或电子邮件形式向中国自动化学会提出异议。异议材料包括成果名称、作者姓名、单位名称、异议内容、相关证据或科学依据，以及提出异议者的真实姓名、工作单位、联系地址和电话等。不符合上述要求的异议不予受理。中国自动化学会负责处理异议，并对提出异议的单位或个人予以保密。</w:t>
      </w:r>
    </w:p>
    <w:p w14:paraId="4265D2EF" w14:textId="77777777" w:rsidR="002B00B9" w:rsidRDefault="00000000" w:rsidP="00A64E0E">
      <w:pPr>
        <w:pStyle w:val="p0"/>
        <w:rPr>
          <w:rFonts w:cs="方正仿宋_GB2312" w:hint="eastAsia"/>
        </w:rPr>
      </w:pPr>
      <w:r>
        <w:rPr>
          <w:b/>
          <w:bCs/>
        </w:rPr>
        <w:t>第</w:t>
      </w:r>
      <w:r>
        <w:rPr>
          <w:rFonts w:hint="eastAsia"/>
          <w:b/>
          <w:bCs/>
        </w:rPr>
        <w:t>十五</w:t>
      </w:r>
      <w:r>
        <w:rPr>
          <w:b/>
          <w:bCs/>
        </w:rPr>
        <w:t xml:space="preserve">条 </w:t>
      </w:r>
      <w:r>
        <w:rPr>
          <w:rFonts w:hint="eastAsia"/>
        </w:rPr>
        <w:t>公示结束后，中国自动化学会将对入选成果名单予以公布。在异议</w:t>
      </w:r>
      <w:r>
        <w:rPr>
          <w:rFonts w:hint="eastAsia"/>
        </w:rPr>
        <w:lastRenderedPageBreak/>
        <w:t>期限结束之日起15日内异议事项仍未处理完毕的成果不列入当年的入选成果名单。</w:t>
      </w:r>
    </w:p>
    <w:p w14:paraId="5759EA79" w14:textId="77777777" w:rsidR="002B00B9" w:rsidRDefault="00000000">
      <w:pPr>
        <w:widowControl w:val="0"/>
        <w:autoSpaceDE/>
        <w:autoSpaceDN/>
        <w:adjustRightInd/>
        <w:spacing w:before="240" w:line="500" w:lineRule="exact"/>
        <w:ind w:firstLineChars="1000" w:firstLine="3213"/>
        <w:textAlignment w:val="auto"/>
        <w:rPr>
          <w:rFonts w:ascii="仿宋" w:eastAsia="仿宋" w:hAnsi="仿宋" w:cs="黑体" w:hint="eastAsia"/>
          <w:b/>
          <w:kern w:val="2"/>
          <w:sz w:val="32"/>
          <w:szCs w:val="32"/>
        </w:rPr>
      </w:pPr>
      <w:r>
        <w:rPr>
          <w:rFonts w:ascii="仿宋" w:eastAsia="仿宋" w:hAnsi="仿宋" w:cs="黑体" w:hint="eastAsia"/>
          <w:b/>
          <w:kern w:val="2"/>
          <w:sz w:val="32"/>
          <w:szCs w:val="32"/>
        </w:rPr>
        <w:t>第六章 评价约束及惩罚条款</w:t>
      </w:r>
    </w:p>
    <w:p w14:paraId="2F850105" w14:textId="77777777" w:rsidR="002B00B9"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仿宋" w:hint="eastAsia"/>
          <w:b/>
          <w:bCs/>
          <w:szCs w:val="28"/>
        </w:rPr>
        <w:t>第十六条</w:t>
      </w:r>
      <w:r>
        <w:rPr>
          <w:rFonts w:ascii="仿宋" w:eastAsia="仿宋" w:hAnsi="仿宋" w:cs="仿宋" w:hint="eastAsia"/>
          <w:szCs w:val="28"/>
        </w:rPr>
        <w:t xml:space="preserve"> 评价工作中，评价专家以及有关人员须遵守如下规则：</w:t>
      </w:r>
    </w:p>
    <w:p w14:paraId="1C84E739" w14:textId="77777777" w:rsidR="002B00B9"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1.不得接受被参评成果作者的钱物和其他任何形式的赠与；</w:t>
      </w:r>
    </w:p>
    <w:p w14:paraId="31A73758" w14:textId="77777777" w:rsidR="002B00B9"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2.按本条例第十九条之规定回避；</w:t>
      </w:r>
    </w:p>
    <w:p w14:paraId="7703094D" w14:textId="77777777" w:rsidR="002B00B9"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3.其他应遵守的职业操守。</w:t>
      </w:r>
    </w:p>
    <w:p w14:paraId="4A88C31C" w14:textId="77777777" w:rsidR="002B00B9"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违反本条规则者，中国自动化学会将视情形给予警告或取消参与评价资格的处罚，且三年（含）内或终身不得担任评价专家。</w:t>
      </w:r>
    </w:p>
    <w:p w14:paraId="7BB1F7FD" w14:textId="77777777" w:rsidR="002B00B9"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仿宋" w:hint="eastAsia"/>
          <w:b/>
          <w:bCs/>
          <w:szCs w:val="28"/>
        </w:rPr>
        <w:t>第十七条</w:t>
      </w:r>
      <w:r>
        <w:rPr>
          <w:rFonts w:ascii="仿宋" w:eastAsia="仿宋" w:hAnsi="仿宋" w:cs="仿宋" w:hint="eastAsia"/>
          <w:szCs w:val="28"/>
        </w:rPr>
        <w:t xml:space="preserve"> 申请参评的人士和推荐者应遵守如下规则：</w:t>
      </w:r>
    </w:p>
    <w:p w14:paraId="7583978C" w14:textId="77777777" w:rsidR="002B00B9" w:rsidRDefault="00000000">
      <w:pPr>
        <w:overflowPunct/>
        <w:topLinePunct/>
        <w:autoSpaceDE/>
        <w:autoSpaceDN/>
        <w:spacing w:line="500" w:lineRule="exact"/>
        <w:ind w:firstLineChars="200" w:firstLine="560"/>
        <w:rPr>
          <w:rFonts w:ascii="仿宋" w:eastAsia="仿宋" w:hAnsi="仿宋" w:hint="eastAsia"/>
          <w:szCs w:val="28"/>
        </w:rPr>
      </w:pPr>
      <w:r>
        <w:rPr>
          <w:rFonts w:ascii="仿宋" w:eastAsia="仿宋" w:hAnsi="仿宋" w:cs="仿宋" w:hint="eastAsia"/>
          <w:szCs w:val="28"/>
        </w:rPr>
        <w:t>1.</w:t>
      </w:r>
      <w:r>
        <w:rPr>
          <w:rFonts w:ascii="仿宋" w:eastAsia="仿宋" w:hAnsi="仿宋"/>
          <w:szCs w:val="28"/>
        </w:rPr>
        <w:t>不得</w:t>
      </w:r>
      <w:proofErr w:type="gramStart"/>
      <w:r>
        <w:rPr>
          <w:rFonts w:ascii="仿宋" w:eastAsia="仿宋" w:hAnsi="仿宋"/>
          <w:szCs w:val="28"/>
        </w:rPr>
        <w:t>向评</w:t>
      </w:r>
      <w:r>
        <w:rPr>
          <w:rFonts w:ascii="仿宋" w:eastAsia="仿宋" w:hAnsi="仿宋" w:hint="eastAsia"/>
          <w:szCs w:val="28"/>
        </w:rPr>
        <w:t>价</w:t>
      </w:r>
      <w:proofErr w:type="gramEnd"/>
      <w:r>
        <w:rPr>
          <w:rFonts w:ascii="仿宋" w:eastAsia="仿宋" w:hAnsi="仿宋" w:hint="eastAsia"/>
          <w:szCs w:val="28"/>
        </w:rPr>
        <w:t>专家或</w:t>
      </w:r>
      <w:r>
        <w:rPr>
          <w:rFonts w:ascii="仿宋" w:eastAsia="仿宋" w:hAnsi="仿宋"/>
          <w:szCs w:val="28"/>
        </w:rPr>
        <w:t>有关人员赠与或以变相形式赠与钱物；</w:t>
      </w:r>
    </w:p>
    <w:p w14:paraId="5459D2C4" w14:textId="77777777" w:rsidR="002B00B9" w:rsidRDefault="00000000">
      <w:pPr>
        <w:overflowPunct/>
        <w:topLinePunct/>
        <w:autoSpaceDE/>
        <w:autoSpaceDN/>
        <w:spacing w:line="500" w:lineRule="exact"/>
        <w:ind w:firstLineChars="200" w:firstLine="560"/>
        <w:rPr>
          <w:rFonts w:ascii="仿宋" w:eastAsia="仿宋" w:hAnsi="仿宋" w:hint="eastAsia"/>
          <w:szCs w:val="28"/>
        </w:rPr>
      </w:pPr>
      <w:r>
        <w:rPr>
          <w:rFonts w:ascii="仿宋" w:eastAsia="仿宋" w:hAnsi="仿宋"/>
          <w:szCs w:val="28"/>
        </w:rPr>
        <w:t>2．不得</w:t>
      </w:r>
      <w:proofErr w:type="gramStart"/>
      <w:r>
        <w:rPr>
          <w:rFonts w:ascii="仿宋" w:eastAsia="仿宋" w:hAnsi="仿宋"/>
          <w:szCs w:val="28"/>
        </w:rPr>
        <w:t>向评</w:t>
      </w:r>
      <w:r>
        <w:rPr>
          <w:rFonts w:ascii="仿宋" w:eastAsia="仿宋" w:hAnsi="仿宋" w:hint="eastAsia"/>
          <w:szCs w:val="28"/>
        </w:rPr>
        <w:t>价</w:t>
      </w:r>
      <w:proofErr w:type="gramEnd"/>
      <w:r>
        <w:rPr>
          <w:rFonts w:ascii="仿宋" w:eastAsia="仿宋" w:hAnsi="仿宋" w:hint="eastAsia"/>
          <w:szCs w:val="28"/>
        </w:rPr>
        <w:t>专家或</w:t>
      </w:r>
      <w:proofErr w:type="gramStart"/>
      <w:r>
        <w:rPr>
          <w:rFonts w:ascii="仿宋" w:eastAsia="仿宋" w:hAnsi="仿宋"/>
          <w:szCs w:val="28"/>
        </w:rPr>
        <w:t>或</w:t>
      </w:r>
      <w:proofErr w:type="gramEnd"/>
      <w:r>
        <w:rPr>
          <w:rFonts w:ascii="仿宋" w:eastAsia="仿宋" w:hAnsi="仿宋"/>
          <w:szCs w:val="28"/>
        </w:rPr>
        <w:t>有关人员说情或委托他人说情；</w:t>
      </w:r>
    </w:p>
    <w:p w14:paraId="14F77B41" w14:textId="77777777" w:rsidR="002B00B9" w:rsidRDefault="00000000">
      <w:pPr>
        <w:overflowPunct/>
        <w:topLinePunct/>
        <w:autoSpaceDE/>
        <w:autoSpaceDN/>
        <w:spacing w:line="500" w:lineRule="exact"/>
        <w:ind w:firstLineChars="200" w:firstLine="560"/>
        <w:rPr>
          <w:rFonts w:ascii="仿宋" w:eastAsia="仿宋" w:hAnsi="仿宋" w:cs="仿宋" w:hint="eastAsia"/>
          <w:szCs w:val="28"/>
        </w:rPr>
      </w:pPr>
      <w:r>
        <w:rPr>
          <w:rFonts w:ascii="仿宋" w:eastAsia="仿宋" w:hAnsi="仿宋"/>
          <w:szCs w:val="28"/>
        </w:rPr>
        <w:t>3．结果公布前，不</w:t>
      </w:r>
      <w:proofErr w:type="gramStart"/>
      <w:r>
        <w:rPr>
          <w:rFonts w:ascii="仿宋" w:eastAsia="仿宋" w:hAnsi="仿宋"/>
          <w:szCs w:val="28"/>
        </w:rPr>
        <w:t>向评</w:t>
      </w:r>
      <w:r>
        <w:rPr>
          <w:rFonts w:ascii="仿宋" w:eastAsia="仿宋" w:hAnsi="仿宋" w:hint="eastAsia"/>
          <w:szCs w:val="28"/>
        </w:rPr>
        <w:t>价</w:t>
      </w:r>
      <w:proofErr w:type="gramEnd"/>
      <w:r>
        <w:rPr>
          <w:rFonts w:ascii="仿宋" w:eastAsia="仿宋" w:hAnsi="仿宋" w:hint="eastAsia"/>
          <w:szCs w:val="28"/>
        </w:rPr>
        <w:t>专家或有关</w:t>
      </w:r>
      <w:r>
        <w:rPr>
          <w:rFonts w:ascii="仿宋" w:eastAsia="仿宋" w:hAnsi="仿宋"/>
          <w:szCs w:val="28"/>
        </w:rPr>
        <w:t>人员打听</w:t>
      </w:r>
      <w:r>
        <w:rPr>
          <w:rFonts w:ascii="仿宋" w:eastAsia="仿宋" w:hAnsi="仿宋" w:hint="eastAsia"/>
          <w:szCs w:val="28"/>
        </w:rPr>
        <w:t>结果</w:t>
      </w:r>
      <w:r>
        <w:rPr>
          <w:rFonts w:ascii="仿宋" w:eastAsia="仿宋" w:hAnsi="仿宋"/>
          <w:szCs w:val="28"/>
        </w:rPr>
        <w:t>。</w:t>
      </w:r>
    </w:p>
    <w:p w14:paraId="75401C1D" w14:textId="77777777" w:rsidR="002B00B9"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违反本条规则者，中国自动化学会将视情形给予警告或取消申请者参评资格的处罚；如推荐单位违反本条规定，则三年（含）内不得再次推荐。</w:t>
      </w:r>
    </w:p>
    <w:p w14:paraId="37838AE2" w14:textId="77777777" w:rsidR="002B00B9"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仿宋" w:hint="eastAsia"/>
          <w:b/>
          <w:bCs/>
          <w:szCs w:val="28"/>
        </w:rPr>
        <w:t xml:space="preserve">第十八条 </w:t>
      </w:r>
      <w:r>
        <w:rPr>
          <w:rFonts w:ascii="仿宋" w:eastAsia="仿宋" w:hAnsi="仿宋" w:cs="仿宋" w:hint="eastAsia"/>
          <w:szCs w:val="28"/>
        </w:rPr>
        <w:t>有如下情形，评价专家应当回避：</w:t>
      </w:r>
    </w:p>
    <w:p w14:paraId="4C73CDCD" w14:textId="77777777" w:rsidR="002B00B9"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1.终评时，评价专家作为成果完成人的成果参评；</w:t>
      </w:r>
    </w:p>
    <w:p w14:paraId="11AB192D" w14:textId="77777777" w:rsidR="002B00B9"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2.评价专家与已入围成果完成人有亲属关系以及其他可能被认为有碍公正评价的关系。</w:t>
      </w:r>
    </w:p>
    <w:p w14:paraId="6BF195CF" w14:textId="77777777" w:rsidR="002B00B9"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仿宋" w:hint="eastAsia"/>
          <w:b/>
          <w:bCs/>
          <w:szCs w:val="28"/>
        </w:rPr>
        <w:t>第十九条</w:t>
      </w:r>
      <w:r>
        <w:rPr>
          <w:rFonts w:ascii="仿宋" w:eastAsia="仿宋" w:hAnsi="仿宋" w:cs="仿宋" w:hint="eastAsia"/>
          <w:szCs w:val="28"/>
        </w:rPr>
        <w:t xml:space="preserve"> 对于上述情形的处罚结果，由中国自动化学会予以公布。</w:t>
      </w:r>
    </w:p>
    <w:p w14:paraId="2E0D0476" w14:textId="77777777" w:rsidR="002B00B9" w:rsidRDefault="00000000">
      <w:pPr>
        <w:widowControl w:val="0"/>
        <w:autoSpaceDE/>
        <w:autoSpaceDN/>
        <w:adjustRightInd/>
        <w:spacing w:before="240" w:line="500" w:lineRule="exact"/>
        <w:ind w:firstLineChars="1200" w:firstLine="3855"/>
        <w:textAlignment w:val="auto"/>
        <w:rPr>
          <w:rFonts w:ascii="仿宋" w:eastAsia="仿宋" w:hAnsi="仿宋" w:cs="黑体" w:hint="eastAsia"/>
          <w:b/>
          <w:kern w:val="2"/>
          <w:sz w:val="32"/>
          <w:szCs w:val="32"/>
        </w:rPr>
      </w:pPr>
      <w:r>
        <w:rPr>
          <w:rFonts w:ascii="仿宋" w:eastAsia="仿宋" w:hAnsi="仿宋" w:cs="黑体" w:hint="eastAsia"/>
          <w:b/>
          <w:kern w:val="2"/>
          <w:sz w:val="32"/>
          <w:szCs w:val="32"/>
        </w:rPr>
        <w:t>第七章 附 则</w:t>
      </w:r>
    </w:p>
    <w:p w14:paraId="4470E9D3" w14:textId="77777777" w:rsidR="002B00B9" w:rsidRDefault="00000000">
      <w:pPr>
        <w:overflowPunct/>
        <w:topLinePunct/>
        <w:autoSpaceDE/>
        <w:autoSpaceDN/>
        <w:spacing w:line="500" w:lineRule="exact"/>
        <w:ind w:firstLineChars="200" w:firstLine="562"/>
        <w:rPr>
          <w:rFonts w:ascii="仿宋" w:eastAsia="仿宋" w:hAnsi="仿宋" w:cs="仿宋" w:hint="eastAsia"/>
          <w:szCs w:val="28"/>
        </w:rPr>
      </w:pPr>
      <w:r>
        <w:rPr>
          <w:rFonts w:ascii="仿宋" w:eastAsia="仿宋" w:hAnsi="仿宋" w:cs="仿宋" w:hint="eastAsia"/>
          <w:b/>
          <w:bCs/>
          <w:szCs w:val="28"/>
        </w:rPr>
        <w:t>第二十条</w:t>
      </w:r>
      <w:r>
        <w:rPr>
          <w:rFonts w:ascii="仿宋" w:eastAsia="仿宋" w:hAnsi="仿宋" w:cs="仿宋" w:hint="eastAsia"/>
          <w:szCs w:val="28"/>
        </w:rPr>
        <w:t xml:space="preserve"> 在评价过程中，若发现被</w:t>
      </w:r>
      <w:proofErr w:type="gramStart"/>
      <w:r>
        <w:rPr>
          <w:rFonts w:ascii="仿宋" w:eastAsia="仿宋" w:hAnsi="仿宋" w:cs="仿宋" w:hint="eastAsia"/>
          <w:szCs w:val="28"/>
        </w:rPr>
        <w:t>评成果</w:t>
      </w:r>
      <w:proofErr w:type="gramEnd"/>
      <w:r>
        <w:rPr>
          <w:rFonts w:ascii="仿宋" w:eastAsia="仿宋" w:hAnsi="仿宋" w:cs="仿宋" w:hint="eastAsia"/>
          <w:szCs w:val="28"/>
        </w:rPr>
        <w:t>有作者抄袭、剽窃等学术道德问题，</w:t>
      </w:r>
      <w:r>
        <w:rPr>
          <w:rFonts w:ascii="仿宋" w:eastAsia="仿宋" w:hAnsi="仿宋" w:hint="eastAsia"/>
          <w:szCs w:val="28"/>
        </w:rPr>
        <w:t>中国自动化学会</w:t>
      </w:r>
      <w:r>
        <w:rPr>
          <w:rFonts w:ascii="仿宋" w:eastAsia="仿宋" w:hAnsi="仿宋"/>
          <w:szCs w:val="28"/>
        </w:rPr>
        <w:t>有权取消该论文的参评资格；若在</w:t>
      </w:r>
      <w:r>
        <w:rPr>
          <w:rFonts w:ascii="仿宋" w:eastAsia="仿宋" w:hAnsi="仿宋" w:hint="eastAsia"/>
          <w:szCs w:val="28"/>
        </w:rPr>
        <w:t>评价工作结束后</w:t>
      </w:r>
      <w:r>
        <w:rPr>
          <w:rFonts w:ascii="仿宋" w:eastAsia="仿宋" w:hAnsi="仿宋"/>
          <w:szCs w:val="28"/>
        </w:rPr>
        <w:t>发现上述问题，将取消其</w:t>
      </w:r>
      <w:r>
        <w:rPr>
          <w:rFonts w:ascii="仿宋" w:eastAsia="仿宋" w:hAnsi="仿宋" w:hint="eastAsia"/>
          <w:szCs w:val="28"/>
        </w:rPr>
        <w:t>入选</w:t>
      </w:r>
      <w:r>
        <w:rPr>
          <w:rFonts w:ascii="仿宋" w:eastAsia="仿宋" w:hAnsi="仿宋"/>
          <w:szCs w:val="28"/>
        </w:rPr>
        <w:t>资格，收回证书，并予</w:t>
      </w:r>
      <w:r>
        <w:rPr>
          <w:rFonts w:ascii="仿宋" w:eastAsia="仿宋" w:hAnsi="仿宋" w:hint="eastAsia"/>
          <w:szCs w:val="28"/>
        </w:rPr>
        <w:t>以</w:t>
      </w:r>
      <w:r>
        <w:rPr>
          <w:rFonts w:ascii="仿宋" w:eastAsia="仿宋" w:hAnsi="仿宋"/>
          <w:szCs w:val="28"/>
        </w:rPr>
        <w:t>公布。</w:t>
      </w:r>
    </w:p>
    <w:p w14:paraId="3AC71E04" w14:textId="77777777" w:rsidR="002B00B9" w:rsidRDefault="00000000">
      <w:pPr>
        <w:snapToGrid w:val="0"/>
        <w:spacing w:line="500" w:lineRule="exact"/>
        <w:ind w:firstLineChars="200" w:firstLine="562"/>
        <w:rPr>
          <w:rFonts w:ascii="仿宋" w:eastAsia="仿宋" w:hAnsi="仿宋" w:cs="仿宋" w:hint="eastAsia"/>
          <w:szCs w:val="28"/>
        </w:rPr>
      </w:pPr>
      <w:r>
        <w:rPr>
          <w:rFonts w:ascii="仿宋" w:eastAsia="仿宋" w:hAnsi="仿宋" w:cs="仿宋" w:hint="eastAsia"/>
          <w:b/>
          <w:bCs/>
          <w:szCs w:val="28"/>
        </w:rPr>
        <w:t>第二十一条</w:t>
      </w:r>
      <w:r>
        <w:rPr>
          <w:rFonts w:ascii="仿宋" w:eastAsia="仿宋" w:hAnsi="仿宋" w:cs="仿宋" w:hint="eastAsia"/>
          <w:szCs w:val="28"/>
        </w:rPr>
        <w:t xml:space="preserve"> 本办法由中国自动化学会常务理事会通过后生效。</w:t>
      </w:r>
    </w:p>
    <w:p w14:paraId="77DFA009" w14:textId="10E8500F" w:rsidR="002B00B9" w:rsidRDefault="00000000" w:rsidP="00C556A0">
      <w:pPr>
        <w:snapToGrid w:val="0"/>
        <w:spacing w:line="500" w:lineRule="exact"/>
        <w:ind w:firstLineChars="200" w:firstLine="562"/>
        <w:rPr>
          <w:rFonts w:ascii="仿宋" w:eastAsia="仿宋" w:hAnsi="仿宋" w:cs="仿宋" w:hint="eastAsia"/>
          <w:b/>
          <w:bCs/>
          <w:szCs w:val="28"/>
        </w:rPr>
      </w:pPr>
      <w:r>
        <w:rPr>
          <w:rFonts w:ascii="仿宋" w:eastAsia="仿宋" w:hAnsi="仿宋" w:cs="仿宋" w:hint="eastAsia"/>
          <w:b/>
          <w:bCs/>
          <w:szCs w:val="28"/>
        </w:rPr>
        <w:t xml:space="preserve">第二十二条 </w:t>
      </w:r>
      <w:r>
        <w:rPr>
          <w:rFonts w:ascii="仿宋" w:eastAsia="仿宋" w:hAnsi="仿宋" w:cs="仿宋" w:hint="eastAsia"/>
          <w:szCs w:val="28"/>
        </w:rPr>
        <w:t>本办法由中国自动化学会秘书处负责解释。</w:t>
      </w:r>
    </w:p>
    <w:sectPr w:rsidR="002B00B9">
      <w:pgSz w:w="11906" w:h="16838"/>
      <w:pgMar w:top="1440" w:right="1080" w:bottom="1440" w:left="108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B049C" w14:textId="77777777" w:rsidR="009C6716" w:rsidRDefault="009C6716" w:rsidP="008C5233">
      <w:r>
        <w:separator/>
      </w:r>
    </w:p>
  </w:endnote>
  <w:endnote w:type="continuationSeparator" w:id="0">
    <w:p w14:paraId="7FE10FBE" w14:textId="77777777" w:rsidR="009C6716" w:rsidRDefault="009C6716" w:rsidP="008C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CF203CC1-851E-49CF-945E-458A07F24BEA}"/>
    <w:embedBold r:id="rId2" w:subsetted="1" w:fontKey="{4FEFE573-CB5F-4AAC-8696-BFD68A40C4DA}"/>
  </w:font>
  <w:font w:name="方正小标宋_GBK">
    <w:altName w:val="Malgun Gothic Semilight"/>
    <w:charset w:val="86"/>
    <w:family w:val="script"/>
    <w:pitch w:val="default"/>
    <w:sig w:usb0="00000000" w:usb1="00000000" w:usb2="00082016" w:usb3="00000000" w:csb0="00040001" w:csb1="00000000"/>
  </w:font>
  <w:font w:name="方正仿宋_GB2312">
    <w:altName w:val="Malgun Gothic Semilight"/>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21CD6" w14:textId="77777777" w:rsidR="009C6716" w:rsidRDefault="009C6716" w:rsidP="008C5233">
      <w:r>
        <w:separator/>
      </w:r>
    </w:p>
  </w:footnote>
  <w:footnote w:type="continuationSeparator" w:id="0">
    <w:p w14:paraId="3F0E65BC" w14:textId="77777777" w:rsidR="009C6716" w:rsidRDefault="009C6716" w:rsidP="008C5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748B66"/>
    <w:multiLevelType w:val="singleLevel"/>
    <w:tmpl w:val="43748B66"/>
    <w:lvl w:ilvl="0">
      <w:start w:val="12"/>
      <w:numFmt w:val="chineseCounting"/>
      <w:suff w:val="space"/>
      <w:lvlText w:val="第%1条"/>
      <w:lvlJc w:val="left"/>
      <w:rPr>
        <w:rFonts w:hint="eastAsia"/>
        <w:b/>
        <w:bCs/>
      </w:rPr>
    </w:lvl>
  </w:abstractNum>
  <w:num w:numId="1" w16cid:durableId="213470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420"/>
  <w:drawingGridHorizontalSpacing w:val="140"/>
  <w:drawingGridVerticalSpacing w:val="381"/>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I4YTUxYTRlN2QzNDZmMDZmNzE4NjZkZWIzZThlNDUifQ=="/>
    <w:docVar w:name="KSO_WPS_MARK_KEY" w:val="69a49ed0-eb56-46c1-ae12-45561772f3b7"/>
  </w:docVars>
  <w:rsids>
    <w:rsidRoot w:val="7B05308C"/>
    <w:rsid w:val="000001B1"/>
    <w:rsid w:val="00037848"/>
    <w:rsid w:val="00107BA9"/>
    <w:rsid w:val="00114958"/>
    <w:rsid w:val="0015190C"/>
    <w:rsid w:val="00210DF9"/>
    <w:rsid w:val="002B00B9"/>
    <w:rsid w:val="00333AC2"/>
    <w:rsid w:val="003634AC"/>
    <w:rsid w:val="004E28F0"/>
    <w:rsid w:val="0061198D"/>
    <w:rsid w:val="00651646"/>
    <w:rsid w:val="006968B2"/>
    <w:rsid w:val="007A1783"/>
    <w:rsid w:val="008105C9"/>
    <w:rsid w:val="00811BC9"/>
    <w:rsid w:val="008C5233"/>
    <w:rsid w:val="0096776D"/>
    <w:rsid w:val="009C6716"/>
    <w:rsid w:val="00A32E87"/>
    <w:rsid w:val="00A64E0E"/>
    <w:rsid w:val="00B44059"/>
    <w:rsid w:val="00BC50D0"/>
    <w:rsid w:val="00C556A0"/>
    <w:rsid w:val="00C77146"/>
    <w:rsid w:val="00CE2DD6"/>
    <w:rsid w:val="00D1340F"/>
    <w:rsid w:val="00D15568"/>
    <w:rsid w:val="00F27A74"/>
    <w:rsid w:val="00F44088"/>
    <w:rsid w:val="00FB0ABA"/>
    <w:rsid w:val="00FE7ED6"/>
    <w:rsid w:val="028F1326"/>
    <w:rsid w:val="0301516D"/>
    <w:rsid w:val="046E4B8A"/>
    <w:rsid w:val="07AA3B18"/>
    <w:rsid w:val="087370B9"/>
    <w:rsid w:val="0B5C3E34"/>
    <w:rsid w:val="0C024DC7"/>
    <w:rsid w:val="0C03044E"/>
    <w:rsid w:val="0C030754"/>
    <w:rsid w:val="0CDB33C6"/>
    <w:rsid w:val="0DF90348"/>
    <w:rsid w:val="0ED2440E"/>
    <w:rsid w:val="12C61BC1"/>
    <w:rsid w:val="145908F8"/>
    <w:rsid w:val="149604EF"/>
    <w:rsid w:val="164200CB"/>
    <w:rsid w:val="174F5D45"/>
    <w:rsid w:val="18860743"/>
    <w:rsid w:val="19140B37"/>
    <w:rsid w:val="1AAD2326"/>
    <w:rsid w:val="1CF145C8"/>
    <w:rsid w:val="1F145210"/>
    <w:rsid w:val="1FE3647B"/>
    <w:rsid w:val="20BE2A44"/>
    <w:rsid w:val="225D48DC"/>
    <w:rsid w:val="22E35D21"/>
    <w:rsid w:val="22F706C3"/>
    <w:rsid w:val="261A0CA1"/>
    <w:rsid w:val="27196C26"/>
    <w:rsid w:val="28526AC7"/>
    <w:rsid w:val="28E374EB"/>
    <w:rsid w:val="29B064E2"/>
    <w:rsid w:val="34483255"/>
    <w:rsid w:val="36176A26"/>
    <w:rsid w:val="3647356F"/>
    <w:rsid w:val="36DB1CC2"/>
    <w:rsid w:val="38A430BF"/>
    <w:rsid w:val="39C64849"/>
    <w:rsid w:val="3B7F30A4"/>
    <w:rsid w:val="3D8602D1"/>
    <w:rsid w:val="3FDB04BE"/>
    <w:rsid w:val="4123338D"/>
    <w:rsid w:val="41D77DAE"/>
    <w:rsid w:val="450D1720"/>
    <w:rsid w:val="4550475C"/>
    <w:rsid w:val="45734961"/>
    <w:rsid w:val="46971BE9"/>
    <w:rsid w:val="49BE5D1B"/>
    <w:rsid w:val="4A82078E"/>
    <w:rsid w:val="4A84748E"/>
    <w:rsid w:val="4D341814"/>
    <w:rsid w:val="4E83327D"/>
    <w:rsid w:val="50D54649"/>
    <w:rsid w:val="514C537E"/>
    <w:rsid w:val="52075749"/>
    <w:rsid w:val="53A94D0A"/>
    <w:rsid w:val="546C7031"/>
    <w:rsid w:val="55924B66"/>
    <w:rsid w:val="576441B4"/>
    <w:rsid w:val="57A317BD"/>
    <w:rsid w:val="59910355"/>
    <w:rsid w:val="5A6B0F71"/>
    <w:rsid w:val="5BE77EB7"/>
    <w:rsid w:val="5C1E200D"/>
    <w:rsid w:val="5D3C699E"/>
    <w:rsid w:val="5E8F51CD"/>
    <w:rsid w:val="5F013C4C"/>
    <w:rsid w:val="6501764E"/>
    <w:rsid w:val="659A6BA8"/>
    <w:rsid w:val="6F1C2964"/>
    <w:rsid w:val="6F382621"/>
    <w:rsid w:val="711104CE"/>
    <w:rsid w:val="737F118B"/>
    <w:rsid w:val="75114F2D"/>
    <w:rsid w:val="75E637EE"/>
    <w:rsid w:val="764C7A4B"/>
    <w:rsid w:val="78BD3EE3"/>
    <w:rsid w:val="7AA25D6A"/>
    <w:rsid w:val="7AA634A2"/>
    <w:rsid w:val="7B05308C"/>
    <w:rsid w:val="7C9D2803"/>
    <w:rsid w:val="7D531928"/>
    <w:rsid w:val="7DFA4230"/>
    <w:rsid w:val="7F993210"/>
    <w:rsid w:val="7FAC0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907C6"/>
  <w15:docId w15:val="{8394184F-8B36-42EC-81ED-150BEF84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overflowPunct w:val="0"/>
      <w:autoSpaceDE w:val="0"/>
      <w:autoSpaceDN w:val="0"/>
      <w:adjustRightInd w:val="0"/>
      <w:jc w:val="both"/>
      <w:textAlignment w:val="baseline"/>
    </w:pPr>
    <w:rPr>
      <w:sz w:val="28"/>
    </w:rPr>
  </w:style>
  <w:style w:type="paragraph" w:styleId="1">
    <w:name w:val="heading 1"/>
    <w:basedOn w:val="a"/>
    <w:next w:val="a"/>
    <w:autoRedefine/>
    <w:qFormat/>
    <w:pPr>
      <w:keepNext/>
      <w:keepLines/>
      <w:snapToGrid w:val="0"/>
      <w:jc w:val="center"/>
      <w:outlineLvl w:val="0"/>
    </w:pPr>
    <w:rPr>
      <w:rFonts w:eastAsia="黑体" w:hint="eastAsia"/>
      <w:kern w:val="44"/>
      <w:sz w:val="32"/>
    </w:rPr>
  </w:style>
  <w:style w:type="paragraph" w:styleId="2">
    <w:name w:val="heading 2"/>
    <w:basedOn w:val="a"/>
    <w:next w:val="a"/>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ody Text"/>
    <w:basedOn w:val="a"/>
    <w:next w:val="a"/>
    <w:autoRedefine/>
    <w:qFormat/>
    <w:pPr>
      <w:spacing w:before="1200" w:line="20" w:lineRule="exact"/>
    </w:pPr>
    <w:rPr>
      <w:rFonts w:ascii="仿宋_GB2312" w:eastAsia="仿宋_GB2312" w:hAnsi="仿宋_GB2312"/>
      <w:sz w:val="32"/>
    </w:rPr>
  </w:style>
  <w:style w:type="paragraph" w:styleId="a6">
    <w:name w:val="Balloon Text"/>
    <w:basedOn w:val="a"/>
    <w:link w:val="a7"/>
    <w:autoRedefine/>
    <w:qFormat/>
    <w:rPr>
      <w:sz w:val="18"/>
      <w:szCs w:val="18"/>
    </w:rPr>
  </w:style>
  <w:style w:type="paragraph" w:styleId="a8">
    <w:name w:val="footer"/>
    <w:basedOn w:val="a"/>
    <w:link w:val="a9"/>
    <w:autoRedefine/>
    <w:qFormat/>
    <w:pPr>
      <w:tabs>
        <w:tab w:val="center" w:pos="4153"/>
        <w:tab w:val="right" w:pos="8306"/>
      </w:tabs>
      <w:snapToGrid w:val="0"/>
      <w:jc w:val="left"/>
    </w:pPr>
    <w:rPr>
      <w:sz w:val="18"/>
      <w:szCs w:val="18"/>
    </w:rPr>
  </w:style>
  <w:style w:type="paragraph" w:styleId="aa">
    <w:name w:val="header"/>
    <w:basedOn w:val="a"/>
    <w:link w:val="ab"/>
    <w:autoRedefine/>
    <w:qFormat/>
    <w:pPr>
      <w:tabs>
        <w:tab w:val="center" w:pos="4153"/>
        <w:tab w:val="right" w:pos="8306"/>
      </w:tabs>
      <w:snapToGrid w:val="0"/>
      <w:jc w:val="center"/>
    </w:pPr>
    <w:rPr>
      <w:sz w:val="18"/>
      <w:szCs w:val="18"/>
    </w:rPr>
  </w:style>
  <w:style w:type="paragraph" w:styleId="ac">
    <w:name w:val="annotation subject"/>
    <w:basedOn w:val="a3"/>
    <w:next w:val="a3"/>
    <w:link w:val="ad"/>
    <w:autoRedefine/>
    <w:qFormat/>
    <w:rPr>
      <w:b/>
      <w:bCs/>
    </w:rPr>
  </w:style>
  <w:style w:type="character" w:styleId="ae">
    <w:name w:val="annotation reference"/>
    <w:basedOn w:val="a0"/>
    <w:autoRedefine/>
    <w:qFormat/>
    <w:rPr>
      <w:sz w:val="21"/>
      <w:szCs w:val="21"/>
    </w:rPr>
  </w:style>
  <w:style w:type="character" w:customStyle="1" w:styleId="xwbt1">
    <w:name w:val="xwbt1"/>
    <w:autoRedefine/>
    <w:qFormat/>
    <w:rPr>
      <w:b/>
      <w:bCs/>
      <w:sz w:val="37"/>
      <w:szCs w:val="37"/>
    </w:rPr>
  </w:style>
  <w:style w:type="paragraph" w:customStyle="1" w:styleId="p0">
    <w:name w:val="p0"/>
    <w:autoRedefine/>
    <w:qFormat/>
    <w:rsid w:val="00A64E0E"/>
    <w:pPr>
      <w:widowControl w:val="0"/>
      <w:adjustRightInd w:val="0"/>
      <w:snapToGrid w:val="0"/>
      <w:spacing w:line="500" w:lineRule="exact"/>
      <w:ind w:firstLine="480"/>
      <w:jc w:val="both"/>
      <w:textAlignment w:val="baseline"/>
    </w:pPr>
    <w:rPr>
      <w:rFonts w:ascii="仿宋" w:eastAsia="仿宋" w:hAnsi="仿宋"/>
      <w:sz w:val="28"/>
      <w:szCs w:val="28"/>
    </w:rPr>
  </w:style>
  <w:style w:type="character" w:customStyle="1" w:styleId="ab">
    <w:name w:val="页眉 字符"/>
    <w:basedOn w:val="a0"/>
    <w:link w:val="aa"/>
    <w:autoRedefine/>
    <w:qFormat/>
    <w:rPr>
      <w:sz w:val="18"/>
      <w:szCs w:val="18"/>
    </w:rPr>
  </w:style>
  <w:style w:type="character" w:customStyle="1" w:styleId="a9">
    <w:name w:val="页脚 字符"/>
    <w:basedOn w:val="a0"/>
    <w:link w:val="a8"/>
    <w:autoRedefine/>
    <w:qFormat/>
    <w:rPr>
      <w:sz w:val="18"/>
      <w:szCs w:val="18"/>
    </w:rPr>
  </w:style>
  <w:style w:type="paragraph" w:customStyle="1" w:styleId="10">
    <w:name w:val="修订1"/>
    <w:autoRedefine/>
    <w:hidden/>
    <w:uiPriority w:val="99"/>
    <w:unhideWhenUsed/>
    <w:qFormat/>
    <w:rPr>
      <w:sz w:val="28"/>
    </w:rPr>
  </w:style>
  <w:style w:type="character" w:customStyle="1" w:styleId="a4">
    <w:name w:val="批注文字 字符"/>
    <w:basedOn w:val="a0"/>
    <w:link w:val="a3"/>
    <w:autoRedefine/>
    <w:qFormat/>
    <w:rPr>
      <w:sz w:val="28"/>
    </w:rPr>
  </w:style>
  <w:style w:type="character" w:customStyle="1" w:styleId="ad">
    <w:name w:val="批注主题 字符"/>
    <w:basedOn w:val="a4"/>
    <w:link w:val="ac"/>
    <w:autoRedefine/>
    <w:qFormat/>
    <w:rPr>
      <w:b/>
      <w:bCs/>
      <w:sz w:val="28"/>
    </w:rPr>
  </w:style>
  <w:style w:type="character" w:customStyle="1" w:styleId="a7">
    <w:name w:val="批注框文本 字符"/>
    <w:basedOn w:val="a0"/>
    <w:link w:val="a6"/>
    <w:autoRedefine/>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1640</Characters>
  <Application>Microsoft Office Word</Application>
  <DocSecurity>0</DocSecurity>
  <Lines>126</Lines>
  <Paragraphs>144</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谭妍妍</dc:creator>
  <cp:lastModifiedBy>琳 陈</cp:lastModifiedBy>
  <cp:revision>7</cp:revision>
  <cp:lastPrinted>2024-09-02T09:30:00Z</cp:lastPrinted>
  <dcterms:created xsi:type="dcterms:W3CDTF">2024-09-05T07:29:00Z</dcterms:created>
  <dcterms:modified xsi:type="dcterms:W3CDTF">2024-09-05T08:33:00Z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363E603464AD416793D517C8F0E035FE</vt:lpwstr>
  </property>
</Properties>
</file>